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ezproreda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OBRAZLOŽENJE OPĆEG I POSEBNOG DIJELA FINANCIJSKOG PLANA ZA 2025. GODINU I</w:t>
      </w:r>
    </w:p>
    <w:p>
      <w:pPr>
        <w:pStyle w:val="Bezproreda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PROJEKCIJA ZA 2026. I 2027. GODINU</w:t>
      </w:r>
    </w:p>
    <w:p>
      <w:pPr>
        <w:pStyle w:val="Bezproreda"/>
        <w:spacing w:line="276" w:lineRule="auto"/>
        <w:rPr>
          <w:rFonts w:ascii="Times New Roman" w:hAnsi="Times New Roman" w:cs="Times New Roman"/>
        </w:rPr>
      </w:pPr>
    </w:p>
    <w:p>
      <w:pPr>
        <w:pStyle w:val="Bezproreda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1.Uvod</w:t>
      </w:r>
    </w:p>
    <w:p>
      <w:pPr>
        <w:pStyle w:val="Bezproreda"/>
        <w:spacing w:line="276" w:lineRule="auto"/>
        <w:rPr>
          <w:rFonts w:ascii="Times New Roman" w:hAnsi="Times New Roman" w:cs="Times New Roman"/>
        </w:rPr>
      </w:pPr>
    </w:p>
    <w:p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Prijedlog financijskog plana Osnovne škole Julija Kempfa za razdoblje 2025.-2027. godine izrađen je prema metodologiji propisanoj Zakonom o proračunu (NN 144/24) i </w:t>
      </w:r>
      <w:proofErr w:type="spellStart"/>
      <w:r>
        <w:rPr>
          <w:rFonts w:ascii="Times New Roman" w:hAnsi="Times New Roman" w:cs="Times New Roman"/>
        </w:rPr>
        <w:t>podzakonskim</w:t>
      </w:r>
      <w:proofErr w:type="spellEnd"/>
      <w:r>
        <w:rPr>
          <w:rFonts w:ascii="Times New Roman" w:hAnsi="Times New Roman" w:cs="Times New Roman"/>
        </w:rPr>
        <w:t xml:space="preserve"> aktima kojima se regulira provedba zakonskih rješenja, i to Pravilnikom o proračunskim klasifikacijama (NN 1/24), Pravilnikom o proračunskom računovodstvu i računskom planu (NN 158/23) i Zakonom o fiskalnoj odgovornosti (NN 111/18 i 83/23), Pravilnik o korištenju sredstava Europske unije (NN 44/24), Uredba o načinu ocjene i postupku odobravanja investicijskih projekata (NN 158/23). Sukladno Zakonu o proračunu, a na temelju Smjernica ekonomske i fiskalne politike za trogodišnje razdoblje Ministarstvo financija sastavilo je Upute za izradu proračuna jedinica lokalne i područne (regionalne) samouprave za razdoblje 2025.-2027. Na temelju dostavljenih uputa, odjel za financije osnivača izradio je Upute za izradu proračuna upravnih tijela i proračunskih korisnika proračuna za razdoblje 2025.-2027., te ih dostavio na postupanje. Izrada financijskih planova zasniva se na proračunskim načelima zakonitosti, ispravnosti, točnosti, uravnoteženosti, načela jedne godine i transparentnosti. Financijski plan Osnovne škole Julija Kempfa čine prihodi i primici, te rashodi i izdaci raspoređeni u programe koji se sastoje od aktivnosti i projekata, a iskazani su prema ekonomskoj i funkcijskoj klasifikaciji, te izvorima financiranja. Obrazloženje prijedloga financijskog plana sadrži obrazloženje općeg dijela financijskog plana po ekonomskoj klasifikaciji i izvorima financiranja. Opći dio financijskog plana sastoji se od Računa prihoda i rashoda i Računa financiranja.</w:t>
      </w:r>
    </w:p>
    <w:p>
      <w:pPr>
        <w:pStyle w:val="Bezproreda"/>
        <w:spacing w:line="276" w:lineRule="auto"/>
        <w:jc w:val="both"/>
        <w:rPr>
          <w:rFonts w:ascii="Times New Roman" w:hAnsi="Times New Roman" w:cs="Times New Roman"/>
          <w:b/>
        </w:rPr>
      </w:pPr>
    </w:p>
    <w:p>
      <w:pPr>
        <w:pStyle w:val="Bezproreda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Račun prihoda i rashoda</w:t>
      </w:r>
    </w:p>
    <w:p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Financijski plan Osnovne škole Julija Kempfa za 2025. godinu planiran je u iznosu 3.064.810,00 eura. Strukturu Prijedloga financijskog plana čine:</w:t>
      </w:r>
      <w:r>
        <w:rPr>
          <w:rFonts w:ascii="Times New Roman" w:hAnsi="Times New Roman" w:cs="Times New Roman"/>
        </w:rPr>
        <w:cr/>
        <w:t>• Prihodi poslovanja: 3.055.130,00 EUR</w:t>
      </w:r>
    </w:p>
    <w:p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Rashodi poslovanja: 3.026.310,00 EUR</w:t>
      </w:r>
    </w:p>
    <w:p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Rashodi za nabavu nefinancijske imovine: 38.500,00 EUR</w:t>
      </w:r>
    </w:p>
    <w:p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Sredstva iz prethodne godine: 9.680,00 EUR</w:t>
      </w:r>
    </w:p>
    <w:p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Bezproreda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2.1. Prihodi</w:t>
      </w:r>
    </w:p>
    <w:p>
      <w:pPr>
        <w:pStyle w:val="Bezproreda"/>
        <w:spacing w:line="276" w:lineRule="auto"/>
        <w:jc w:val="both"/>
        <w:rPr>
          <w:rFonts w:ascii="Times New Roman" w:hAnsi="Times New Roman" w:cs="Times New Roman"/>
          <w:b/>
        </w:rPr>
      </w:pPr>
    </w:p>
    <w:p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prihodi za 2025. godinu planirani su u iznosu 3.055.130,00 EUR.</w:t>
      </w:r>
    </w:p>
    <w:p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>
        <w:tc>
          <w:tcPr>
            <w:tcW w:w="6799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Vrsta prihoda</w:t>
            </w:r>
          </w:p>
        </w:tc>
        <w:tc>
          <w:tcPr>
            <w:tcW w:w="2263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Iznos</w:t>
            </w:r>
          </w:p>
        </w:tc>
      </w:tr>
      <w:tr>
        <w:tc>
          <w:tcPr>
            <w:tcW w:w="6799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UKUPNI PRIHODI</w:t>
            </w:r>
          </w:p>
        </w:tc>
        <w:tc>
          <w:tcPr>
            <w:tcW w:w="2263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3.055.130,00</w:t>
            </w:r>
          </w:p>
        </w:tc>
      </w:tr>
      <w:tr>
        <w:tc>
          <w:tcPr>
            <w:tcW w:w="6799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Prihodi poslovanja</w:t>
            </w:r>
          </w:p>
        </w:tc>
        <w:tc>
          <w:tcPr>
            <w:tcW w:w="2263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3.055.130,00</w:t>
            </w:r>
          </w:p>
        </w:tc>
      </w:tr>
      <w:tr>
        <w:tc>
          <w:tcPr>
            <w:tcW w:w="6799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2263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2.668.030,00</w:t>
            </w:r>
          </w:p>
        </w:tc>
      </w:tr>
      <w:tr>
        <w:tc>
          <w:tcPr>
            <w:tcW w:w="6799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2263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>
        <w:tc>
          <w:tcPr>
            <w:tcW w:w="6799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Prihodi od upravnih i administrativnih pristojbi, pristojbi po posebnim propisima i naknada         </w:t>
            </w:r>
          </w:p>
        </w:tc>
        <w:tc>
          <w:tcPr>
            <w:tcW w:w="2263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63.000,00</w:t>
            </w:r>
          </w:p>
        </w:tc>
      </w:tr>
      <w:tr>
        <w:tc>
          <w:tcPr>
            <w:tcW w:w="6799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Prihodi od prodaje proizvoda i robe te pruženih usluga i prihodi od donacija                        </w:t>
            </w:r>
          </w:p>
        </w:tc>
        <w:tc>
          <w:tcPr>
            <w:tcW w:w="2263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4.200,00</w:t>
            </w:r>
          </w:p>
        </w:tc>
      </w:tr>
      <w:tr>
        <w:tc>
          <w:tcPr>
            <w:tcW w:w="6799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iz proračuna</w:t>
            </w:r>
          </w:p>
        </w:tc>
        <w:tc>
          <w:tcPr>
            <w:tcW w:w="2263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319.400,00</w:t>
            </w:r>
          </w:p>
        </w:tc>
      </w:tr>
      <w:tr>
        <w:tc>
          <w:tcPr>
            <w:tcW w:w="6799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Kazne, upravne mjere i ostali prihodi                                                               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490,00</w:t>
            </w:r>
          </w:p>
        </w:tc>
      </w:tr>
    </w:tbl>
    <w:p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Prema izvorima financiranja, prihodi za 2025. godinu planirani su kako slijedi:</w:t>
      </w:r>
    </w:p>
    <w:p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Izvor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Iznos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 Opći prihodi i primici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176.640,00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numPr>
                <w:ilvl w:val="1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 prihodi i primici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142.760,00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 Vlastiti prihodi PK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1.800,00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4.5. Prihodi za posebne namjene PK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63.400,00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 Pomoći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2.668.030,00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Donacije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2.500,00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Ukupno: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3.055.130,00</w:t>
            </w:r>
          </w:p>
        </w:tc>
      </w:tr>
    </w:tbl>
    <w:p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Bezproreda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2.1.1. Prihodi poslovanja</w:t>
      </w:r>
    </w:p>
    <w:p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Prihodi poslovanja za 2025. godinu planirani su u iznosu od 3.055.130,00 eura.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Pomoći iz inozemstva i od subjekata unutar općeg proračuna najvećim se dijelom odnose na pomoći od MZO za financiranje rashoda za zaposlene koji se isplaćuju iz državnog proračuna i naknadu za nezapošljavanje invalida, na pomoći iz MZO za nabavu knjiga za knjižnicu i udžbenika za učenike, na pomoći MZO za prijevoz, materijal za nastavu u posebnim odjelima. Također, ovdje je uključena i prehrana svih učenika te plaće i materijalna prava pomoćnika u nastavi. Pomoći iz inozemstva i od subjekata unutar općeg proračuna planirana su u iznosu od 2.668.030,00 </w:t>
      </w:r>
      <w:proofErr w:type="spellStart"/>
      <w:r>
        <w:rPr>
          <w:rFonts w:ascii="Times New Roman" w:hAnsi="Times New Roman" w:cs="Times New Roman"/>
        </w:rPr>
        <w:t>eur</w:t>
      </w:r>
      <w:proofErr w:type="spellEnd"/>
      <w:r>
        <w:rPr>
          <w:rFonts w:ascii="Times New Roman" w:hAnsi="Times New Roman" w:cs="Times New Roman"/>
        </w:rPr>
        <w:t>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Prihodi od imovine odnose se na prihode od kamata na sredstva na žiro računu. Prihodi od imovine planirani su u iznosu 10,00 </w:t>
      </w:r>
      <w:proofErr w:type="spellStart"/>
      <w:r>
        <w:rPr>
          <w:rFonts w:ascii="Times New Roman" w:hAnsi="Times New Roman" w:cs="Times New Roman"/>
        </w:rPr>
        <w:t>eur</w:t>
      </w:r>
      <w:proofErr w:type="spellEnd"/>
      <w:r>
        <w:rPr>
          <w:rFonts w:ascii="Times New Roman" w:hAnsi="Times New Roman" w:cs="Times New Roman"/>
        </w:rPr>
        <w:t>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Prihodi od upravnih i administrativnih pristojbi, pristojbi po posebnim propisima i naknada odnose se na uplate roditelja za produženi boravak. Prihodi od upravnih i administrativnih pristojbi, pristojbi po posebnim propisima i naknada planirani su u iznosu 63.000,00 </w:t>
      </w:r>
      <w:proofErr w:type="spellStart"/>
      <w:r>
        <w:rPr>
          <w:rFonts w:ascii="Times New Roman" w:hAnsi="Times New Roman" w:cs="Times New Roman"/>
        </w:rPr>
        <w:t>eur</w:t>
      </w:r>
      <w:proofErr w:type="spellEnd"/>
      <w:r>
        <w:rPr>
          <w:rFonts w:ascii="Times New Roman" w:hAnsi="Times New Roman" w:cs="Times New Roman"/>
        </w:rPr>
        <w:t>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Prihodi od prodaje proizvoda i robe te pruženih usluga i prihodi od donacija odnose se na prihode od najma školske dvorane i donacija primljenih za potrebe redovnog poslovanja. Prihodi od prodaje proizvoda i robe te pruženih usluga i prihodi od donacija planirani su u iznosu 4.200,00 </w:t>
      </w:r>
      <w:proofErr w:type="spellStart"/>
      <w:r>
        <w:rPr>
          <w:rFonts w:ascii="Times New Roman" w:hAnsi="Times New Roman" w:cs="Times New Roman"/>
        </w:rPr>
        <w:t>eur</w:t>
      </w:r>
      <w:proofErr w:type="spellEnd"/>
      <w:r>
        <w:rPr>
          <w:rFonts w:ascii="Times New Roman" w:hAnsi="Times New Roman" w:cs="Times New Roman"/>
        </w:rPr>
        <w:t xml:space="preserve">.                        </w:t>
      </w:r>
    </w:p>
    <w:p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Prihodi iz proračuna odnose se na decentralizirana sredstva od osnivača. Prihodi iz proračuna, zakonski standard, odnose se na materijalne i financijske rashode te za nabavu opreme iz decentraliziranih izvora potrebnih za redovno obavljanje djelatnosti i iznose 142.760,00 </w:t>
      </w:r>
      <w:proofErr w:type="spellStart"/>
      <w:r>
        <w:rPr>
          <w:rFonts w:ascii="Times New Roman" w:hAnsi="Times New Roman" w:cs="Times New Roman"/>
        </w:rPr>
        <w:t>eur</w:t>
      </w:r>
      <w:proofErr w:type="spellEnd"/>
      <w:r>
        <w:rPr>
          <w:rFonts w:ascii="Times New Roman" w:hAnsi="Times New Roman" w:cs="Times New Roman"/>
        </w:rPr>
        <w:t xml:space="preserve">. Prihodi iz proračuna, iznad zakonski standard, odnose se na plaće i materijalna prava zaposlenika u produženom boravku koje financira Grad Požega i na plaće i materijalna prava za pomoćnike u nastavi za djecu s teškoćama. Sredstva iznad zakonskog standarda planirana su u iznosu 176.640,00 </w:t>
      </w:r>
      <w:proofErr w:type="spellStart"/>
      <w:r>
        <w:rPr>
          <w:rFonts w:ascii="Times New Roman" w:hAnsi="Times New Roman" w:cs="Times New Roman"/>
        </w:rPr>
        <w:t>eur</w:t>
      </w:r>
      <w:proofErr w:type="spellEnd"/>
      <w:r>
        <w:rPr>
          <w:rFonts w:ascii="Times New Roman" w:hAnsi="Times New Roman" w:cs="Times New Roman"/>
        </w:rPr>
        <w:t>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Kazne, upravne mjere i ostali prihodi odnose se na zakasninu za knjižnicu, uplate HŠSS-a za prijevoz na regionalna i državna natjecanja. Kazne, upravne mjere i ostali prihodi planirani su u iznosu 490,00 </w:t>
      </w:r>
      <w:proofErr w:type="spellStart"/>
      <w:r>
        <w:rPr>
          <w:rFonts w:ascii="Times New Roman" w:hAnsi="Times New Roman" w:cs="Times New Roman"/>
        </w:rPr>
        <w:t>eur</w:t>
      </w:r>
      <w:proofErr w:type="spellEnd"/>
      <w:r>
        <w:rPr>
          <w:rFonts w:ascii="Times New Roman" w:hAnsi="Times New Roman" w:cs="Times New Roman"/>
        </w:rPr>
        <w:t xml:space="preserve">.  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2.2. Rashodi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rashodi za 2025. godinu planirani su u iznosu 3.064.810,00 eura. Pregled rashoda prema ekonomskoj klasifikaciji na razini skupine daje se u tabličnom prikazu:</w:t>
      </w:r>
    </w:p>
    <w:p>
      <w:pPr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c>
          <w:tcPr>
            <w:tcW w:w="4531" w:type="dxa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Vrsta rashoda</w:t>
            </w:r>
          </w:p>
        </w:tc>
        <w:tc>
          <w:tcPr>
            <w:tcW w:w="4531" w:type="dxa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Iznos</w:t>
            </w:r>
          </w:p>
        </w:tc>
      </w:tr>
      <w:tr>
        <w:tc>
          <w:tcPr>
            <w:tcW w:w="4531" w:type="dxa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UKUPNI RASHODI</w:t>
            </w:r>
          </w:p>
        </w:tc>
        <w:tc>
          <w:tcPr>
            <w:tcW w:w="4531" w:type="dxa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3.064.810,00</w:t>
            </w:r>
          </w:p>
        </w:tc>
      </w:tr>
      <w:tr>
        <w:tc>
          <w:tcPr>
            <w:tcW w:w="4531" w:type="dxa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Rashodi poslovanja</w:t>
            </w:r>
          </w:p>
        </w:tc>
        <w:tc>
          <w:tcPr>
            <w:tcW w:w="4531" w:type="dxa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3.026.310,00</w:t>
            </w:r>
          </w:p>
        </w:tc>
      </w:tr>
      <w:tr>
        <w:tc>
          <w:tcPr>
            <w:tcW w:w="4531" w:type="dxa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4531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2.526.800,00</w:t>
            </w:r>
          </w:p>
        </w:tc>
      </w:tr>
      <w:tr>
        <w:tc>
          <w:tcPr>
            <w:tcW w:w="4531" w:type="dxa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4531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462.890,00</w:t>
            </w:r>
          </w:p>
        </w:tc>
      </w:tr>
      <w:tr>
        <w:tc>
          <w:tcPr>
            <w:tcW w:w="4531" w:type="dxa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4531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380,00</w:t>
            </w:r>
          </w:p>
        </w:tc>
      </w:tr>
      <w:tr>
        <w:tc>
          <w:tcPr>
            <w:tcW w:w="4531" w:type="dxa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4531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4531" w:type="dxa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Rashodi za nabavu nefinancijske imovine</w:t>
            </w:r>
          </w:p>
        </w:tc>
        <w:tc>
          <w:tcPr>
            <w:tcW w:w="4531" w:type="dxa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38.500,00</w:t>
            </w:r>
          </w:p>
        </w:tc>
      </w:tr>
    </w:tbl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Prema izvorima financiranja, rashodi za 2025. godinu planirani su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Izvor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Iznos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1.0. Opći prihodi i primici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176.640,00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numPr>
                <w:ilvl w:val="1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 prihodi i primici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142.760,00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 Vlastiti prihodi PK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1.800,00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 Vlastiti prihodi PK-rezultat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1.000,00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4.5. Prihodi za posebne namjene PK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63.400,00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4.9. Prihodi za posebne namjene PK-rezultat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 Pomoći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2.668.030,00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5.5. Pomoći-rezultat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3.000,00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 Donacije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2.500,00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6.4.Donacije-rezultat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680,00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Ukupno: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3.064.810,00</w:t>
            </w:r>
          </w:p>
        </w:tc>
      </w:tr>
    </w:tbl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2.2.1. Rashodi poslovanja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poslovanja za 2025. godinu planirani su u iznosu od 3.064.810,00 eura.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Rashodi za zaposlene odnose se na bruto plaće zaposlenika, učitelja u produženom boravku, plaće za pomoćnike u nastavi te na ostale rashode za zaposlene i doprinose na plaću. Rashodi za zaposlene planirani su u iznosu 2.526.800,00 </w:t>
      </w:r>
      <w:proofErr w:type="spellStart"/>
      <w:r>
        <w:rPr>
          <w:rFonts w:ascii="Times New Roman" w:hAnsi="Times New Roman" w:cs="Times New Roman"/>
        </w:rPr>
        <w:t>eur</w:t>
      </w:r>
      <w:proofErr w:type="spellEnd"/>
      <w:r>
        <w:rPr>
          <w:rFonts w:ascii="Times New Roman" w:hAnsi="Times New Roman" w:cs="Times New Roman"/>
        </w:rPr>
        <w:t>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Materijalni rashodi obuhvaćaju rashode za potrebe redovnog poslovanja (nabava uredskog materijala, službena putovanja, stručno usavršavanje zaposlenika, energiju, materijal, sitni inventar, usluge tekućeg održavanja, rashode za usluge telefona, pošte i prijevoza, zdravstvene usluge, računalna usluge i ostale usluge, intelektualna usluge, premije osiguranja, članarine). Materijalni rashodi planirani su u iznosu 462.890,00 </w:t>
      </w:r>
      <w:proofErr w:type="spellStart"/>
      <w:r>
        <w:rPr>
          <w:rFonts w:ascii="Times New Roman" w:hAnsi="Times New Roman" w:cs="Times New Roman"/>
        </w:rPr>
        <w:t>eur</w:t>
      </w:r>
      <w:proofErr w:type="spellEnd"/>
      <w:r>
        <w:rPr>
          <w:rFonts w:ascii="Times New Roman" w:hAnsi="Times New Roman" w:cs="Times New Roman"/>
        </w:rPr>
        <w:t>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Financijski rashodi odnose se na usluge platnog prometa. Financijski rashodi planirani su u iznosu 380,00 </w:t>
      </w:r>
      <w:proofErr w:type="spellStart"/>
      <w:r>
        <w:rPr>
          <w:rFonts w:ascii="Times New Roman" w:hAnsi="Times New Roman" w:cs="Times New Roman"/>
        </w:rPr>
        <w:t>eur</w:t>
      </w:r>
      <w:proofErr w:type="spellEnd"/>
      <w:r>
        <w:rPr>
          <w:rFonts w:ascii="Times New Roman" w:hAnsi="Times New Roman" w:cs="Times New Roman"/>
        </w:rPr>
        <w:t>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Naknade građanima i kućanstvima na temelju osiguranja i druge naknade odnose se na nabavu radnih bilježnica koje financira osnivač. Naknade građanima i kućanstvima na temelju osiguranja i druge naknade planirane su u iznosu 35.000,00 </w:t>
      </w:r>
      <w:proofErr w:type="spellStart"/>
      <w:r>
        <w:rPr>
          <w:rFonts w:ascii="Times New Roman" w:hAnsi="Times New Roman" w:cs="Times New Roman"/>
        </w:rPr>
        <w:t>eur</w:t>
      </w:r>
      <w:proofErr w:type="spellEnd"/>
      <w:r>
        <w:rPr>
          <w:rFonts w:ascii="Times New Roman" w:hAnsi="Times New Roman" w:cs="Times New Roman"/>
        </w:rPr>
        <w:t>.</w:t>
      </w: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2.2.2. Rashodi za nabavu nefinancijske imovine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za nabavu nefinancijske imovine planirani za 2025. godinu iznose 38.500,00 eura i odnose se na nabavu namještaja, računala i računalne opreme, ostalih strojeva i opreme, te za nabavu knjiga za knjižnicu i udžbenika za sve učenike.</w:t>
      </w: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2.3. Preneseni rezultat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Planirani višak iz prethodne godine iznosi 9.680,00 eura i potpuno se planira rasporediti u 2025. godini.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Rezultat iz izvora 3.4. Vlastiti prihodi (1.000,00 eura) namjerava se koristiti za nagrade mentorima, iz izvora 4.9. Prihodi za posebne namjene (5.000,00 eura) za plaće zaposlenika u produženom boravku, iz izvora 5.5. Pomoći (3.000,00 eura) za nabavu materijala za nastavu, ovisno o ostvarenim sredstvima do kraja godine, iz izvora 6.4. Donacije (680,00 eura) za službena putovanja. </w:t>
      </w: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Račun financiranja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računu financiranja nisu planirani primici od financijske imovine i zaduživanja, te izdaci za financijsku imovinu i za otplatu kredita i zajmova.</w:t>
      </w:r>
    </w:p>
    <w:p>
      <w:pPr>
        <w:jc w:val="both"/>
        <w:rPr>
          <w:rFonts w:ascii="Times New Roman" w:hAnsi="Times New Roman" w:cs="Times New Roman"/>
          <w:b/>
        </w:rPr>
      </w:pPr>
    </w:p>
    <w:p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POSEBNI DIO</w:t>
      </w:r>
    </w:p>
    <w:p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Proračunski korisnik 9763 - OŠ Julija Kempfa</w:t>
      </w:r>
    </w:p>
    <w:p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Pod imenom Osnovna škola Julije Kempfa škola djeluje od početka 90-ih godine. Djelokrug djelovanja predstavlja osnovno obrazovanje učenika od prvog do osmog razreda. Učenici su raspoređeni u trideset i četiri (34) razredna odjela (dvanaest (12) razrednih odjela razredne nastave, dvanaest (12) odjela predmetne nastave i deset (10) razrednih odjela za učenike s teškoćama u razvoju). Nastava je organizirana u petodnevnom radnom tjednu u dvije smjene, po nastavnom planu i programu koje je donijelo Ministarstvo, odnosno kao redovna, izborna, dodatna i dopunska. U školi je organiziran produženi boravak za učenike prvog i drugog razreda uz organizaciju toplih obrok uz sufinanciranje roditelja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1"/>
        <w:tblW w:w="9258" w:type="dxa"/>
        <w:jc w:val="center"/>
        <w:tblLook w:val="04A0" w:firstRow="1" w:lastRow="0" w:firstColumn="1" w:lastColumn="0" w:noHBand="0" w:noVBand="1"/>
      </w:tblPr>
      <w:tblGrid>
        <w:gridCol w:w="5109"/>
        <w:gridCol w:w="1417"/>
        <w:gridCol w:w="1366"/>
        <w:gridCol w:w="1366"/>
      </w:tblGrid>
      <w:tr>
        <w:trPr>
          <w:trHeight w:val="255"/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>9763 OŠ "JULIJA KEMPFA"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>2027.</w:t>
            </w:r>
          </w:p>
        </w:tc>
      </w:tr>
      <w:tr>
        <w:trPr>
          <w:trHeight w:val="255"/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>
            <w:pPr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  <w:t>PROGRAM 6000 REDOVNA DJELATNOST OSNOVNOG ŠKOLSTVA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  <w:t>142.760,00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  <w:t>142.760,00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  <w:t>142.760,00</w:t>
            </w:r>
          </w:p>
        </w:tc>
      </w:tr>
      <w:tr>
        <w:trPr>
          <w:trHeight w:val="255"/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>
            <w:pPr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  <w:t>PROGRAM 7000 REDOVNA DJELATNOST OSNOVNOG ŠKOLSTVA - IZNAD ZAKONSKI STANDARD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  <w:t>2.922.050,00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  <w:t>2.912.370,00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  <w:t>2.912.370,00</w:t>
            </w:r>
          </w:p>
        </w:tc>
      </w:tr>
      <w:tr>
        <w:trPr>
          <w:trHeight w:val="255"/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3.064.810,00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3.055.130,00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3.055.130,00</w:t>
            </w:r>
          </w:p>
        </w:tc>
      </w:tr>
    </w:tbl>
    <w:p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NAZIV PROGRAMA: REDOVNA DJELATNOST OSNOVNOG ŠKOLSTVA - ZAKONSKI STANDARD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>
      <w:pPr>
        <w:suppressAutoHyphens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Usmjeren je na obrazovanje učenika u osnovnoj školi, poticanje učenika na izražavanje njihove kreativnosti i sposobnosti kroz slobodne aktivnosti, natjecanja, prijave na literarne i likovne natječaje, školske projekte, priredbe i manifestacije u školi. </w:t>
      </w:r>
    </w:p>
    <w:p>
      <w:pPr>
        <w:suppressAutoHyphens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Zakonska osnova za uvođenje programa: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- Zakon o odgoju i obrazovanju u osnovnoj i srednjoj školi (Narodne novine, broj: 87/08., 86/09., 92/10., 105/10., 90/11., 5/12., 16/12., 86/12., 126/12., 94/13., 152/14., 07/17., 68/18., 98/19., 64/20., 151/22., 155/23. i 156/23.),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Godišnji plan i program rada,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Školski kurikulum,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Zakon o proračunu (Narodne novine, broj: 144/21.), 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Pravilnik o proračunskim klasifikacijama (Narodne novine, broj: 1/24.), 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Pravilnik o proračunskom računovodstvu i računskom planu (Narodne novine, broj: 158/23.), 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Zakon o fiskalnoj odgovornosti (Narodne novine, broj: 111/18. i 83/23.),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Pravilnik o korištenju sredstava Europske unije (Narodne novine, broj: 44/24),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Uredba o načinu ocjene i postupku odobravanja investicijskih projekata (Narodne novine, broj:     158/23.) i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Upute za izradu proračuna.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9219" w:type="dxa"/>
        <w:jc w:val="right"/>
        <w:tblLook w:val="04A0" w:firstRow="1" w:lastRow="0" w:firstColumn="1" w:lastColumn="0" w:noHBand="0" w:noVBand="1"/>
      </w:tblPr>
      <w:tblGrid>
        <w:gridCol w:w="4825"/>
        <w:gridCol w:w="1559"/>
        <w:gridCol w:w="1417"/>
        <w:gridCol w:w="1418"/>
      </w:tblGrid>
      <w:tr>
        <w:trPr>
          <w:trHeight w:val="255"/>
          <w:jc w:val="right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>
            <w:pPr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>PROGRAM 6000 REDOVNA DJELATNOST OSNOVNOG ŠKOLSTVA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2025.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2027.</w:t>
            </w:r>
          </w:p>
        </w:tc>
      </w:tr>
      <w:tr>
        <w:trPr>
          <w:trHeight w:val="255"/>
          <w:jc w:val="right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Aktivnost A600001 OSNOVNA AKTIVNOST OSNOVNOG ŠKOLSTVA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134.260,00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134.260,00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134.260,00</w:t>
            </w:r>
          </w:p>
        </w:tc>
      </w:tr>
      <w:tr>
        <w:trPr>
          <w:trHeight w:val="255"/>
          <w:jc w:val="right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Kapitalni projekt K600001 NABAVA OPREME U OSNOVNOM ŠKOLSTVU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8.000,00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8.000,00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8.000,00</w:t>
            </w:r>
          </w:p>
        </w:tc>
      </w:tr>
      <w:tr>
        <w:trPr>
          <w:trHeight w:val="255"/>
          <w:jc w:val="right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Kapitalni projekt K600003 NABAVA KNJIGA U OSNOVNOM ŠKOLSTVU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500,00</w:t>
            </w:r>
          </w:p>
        </w:tc>
      </w:tr>
      <w:tr>
        <w:trPr>
          <w:trHeight w:val="255"/>
          <w:jc w:val="right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142.760,00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142.760,00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142.760,00</w:t>
            </w: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Osnovne aktivnosti</w:t>
      </w:r>
      <w:r>
        <w:rPr>
          <w:rFonts w:ascii="Times New Roman" w:eastAsia="Times New Roman" w:hAnsi="Times New Roman" w:cs="Times New Roman"/>
          <w:lang w:eastAsia="zh-CN"/>
        </w:rPr>
        <w:t>- odnosi se na materijalne i financijske rashode iz decentraliziranih izvora potrebnih za redovno obavljanje djelatnosti.</w:t>
      </w:r>
    </w:p>
    <w:p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lang w:eastAsia="zh-CN"/>
        </w:rPr>
      </w:pPr>
    </w:p>
    <w:p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Nabava opreme</w:t>
      </w:r>
      <w:r>
        <w:rPr>
          <w:rFonts w:ascii="Times New Roman" w:eastAsia="Times New Roman" w:hAnsi="Times New Roman" w:cs="Times New Roman"/>
          <w:lang w:eastAsia="zh-CN"/>
        </w:rPr>
        <w:t xml:space="preserve"> - odnosi se na troškove nabave računala i računalne opreme te opreme potrebne za kvalitetnije obavljanje djelatnosti iz decentraliziranih izvora.</w:t>
      </w:r>
    </w:p>
    <w:p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lang w:eastAsia="zh-CN"/>
        </w:rPr>
      </w:pPr>
    </w:p>
    <w:p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Nabava knjiga</w:t>
      </w:r>
      <w:r>
        <w:rPr>
          <w:rFonts w:ascii="Times New Roman" w:eastAsia="Times New Roman" w:hAnsi="Times New Roman" w:cs="Times New Roman"/>
          <w:lang w:eastAsia="zh-CN"/>
        </w:rPr>
        <w:t xml:space="preserve"> - odnosi se na troškove nabave knjiga potrebnih za kvalitetnije obavljanje djelatnosti iz decentraliziranih izvora.</w:t>
      </w:r>
    </w:p>
    <w:p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1982"/>
        <w:gridCol w:w="795"/>
        <w:gridCol w:w="987"/>
        <w:gridCol w:w="1154"/>
        <w:gridCol w:w="1181"/>
        <w:gridCol w:w="1320"/>
      </w:tblGrid>
      <w:t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Pokazatelj uspješnosti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Definicija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Jedinica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Polazna vrijednost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PLAN </w:t>
            </w:r>
          </w:p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2025.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PROJEKCIJA</w:t>
            </w:r>
          </w:p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2026.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PROJEKCIJA</w:t>
            </w:r>
          </w:p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2027.</w:t>
            </w:r>
          </w:p>
        </w:tc>
      </w:tr>
      <w:t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54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Projekti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54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Broj pripremljenih i provedenih projekata u kojima sudjeluje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Projekt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</w:p>
        </w:tc>
      </w:tr>
      <w:t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54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Županijska/regionalna natjecanja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54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Broj učenika koji sudjeluju na županijskim/regionalnim natjecanjima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Učenik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commentRangeStart w:id="1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  <w:commentRangeEnd w:id="1"/>
            <w:r>
              <w:rPr>
                <w:rStyle w:val="Referencakomentara"/>
              </w:rPr>
              <w:commentReference w:id="1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</w:t>
            </w:r>
          </w:p>
        </w:tc>
      </w:tr>
      <w:tr>
        <w:trPr>
          <w:trHeight w:val="5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54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Državna natjecanja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54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Broj učenika koji sudjeluju na državnim natjecanjima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Učenik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commentRangeStart w:id="2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</w:t>
            </w:r>
            <w:commentRangeEnd w:id="2"/>
            <w:r>
              <w:rPr>
                <w:rStyle w:val="Referencakomentara"/>
              </w:rPr>
              <w:commentReference w:id="2"/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</w:t>
            </w:r>
          </w:p>
        </w:tc>
      </w:tr>
    </w:tbl>
    <w:p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NAZIV PROGRAMA:  REDOVNA DJELATNOST OSNOVNOG ŠKOLSTVA – IZNAD ZAKONSKI STANDARD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Usmjeren je na omogućavanje razvoja djeteta kao socijalnog bića kroz život i suradnju s ostalima kako bi doprinijeli dobru u društvu te pripremanje djeteta za daljnje obrazovanje i cjeloživotno učenje (učiti kako učiti).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Zakonska osnova za uvođenje programa: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- Zakon o odgoju i obrazovanju u osnovnoj i srednjoj školi (Narodne novine, broj: 87/08., 86/09., 92/10., 105/10., 90/11., 5/12., 16/12., 86/12., 126/12., 94/13., 152/14., 07/17., 68/18., 98/19., 64/20., 151/22., 155/23. i 156/23.),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Godišnji plan i program rada,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Školski kurikulum,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Zakon o proračunu (Narodne novine, broj: 144/21.), 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Pravilnik o proračunskim klasifikacijama (Narodne novine, broj: 1/24.), 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Pravilnik o proračunskom računovodstvu i računskom planu (Narodne novine, broj: 158/23.) 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Pravilnik o korištenju sredstava Europske unije (Narodne novine, broj: 44/24),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Uredba o načinu ocjene i postupku odobravanja investicijskih projekata (Narodne novine, broj:     158/23.) i </w:t>
      </w:r>
    </w:p>
    <w:p>
      <w:pPr>
        <w:suppressAutoHyphens/>
        <w:spacing w:after="0" w:line="240" w:lineRule="auto"/>
        <w:ind w:left="527" w:hanging="17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Upute za izradu proračuna.</w:t>
      </w:r>
    </w:p>
    <w:p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9163" w:type="dxa"/>
        <w:jc w:val="right"/>
        <w:tblLook w:val="04A0" w:firstRow="1" w:lastRow="0" w:firstColumn="1" w:lastColumn="0" w:noHBand="0" w:noVBand="1"/>
      </w:tblPr>
      <w:tblGrid>
        <w:gridCol w:w="4820"/>
        <w:gridCol w:w="1559"/>
        <w:gridCol w:w="1418"/>
        <w:gridCol w:w="1386"/>
      </w:tblGrid>
      <w:tr>
        <w:trPr>
          <w:trHeight w:val="255"/>
          <w:jc w:val="right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>
            <w:pPr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>PROGRAM 7000 REDOVNA DJELATNOST OSNOVNOG ŠKOLSTVA - IZNAD ZAKONSKI STANDARD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2026.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2027.</w:t>
            </w:r>
          </w:p>
        </w:tc>
      </w:tr>
      <w:tr>
        <w:trPr>
          <w:trHeight w:val="255"/>
          <w:jc w:val="right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>
            <w:r>
              <w:rPr>
                <w:szCs w:val="24"/>
              </w:rPr>
              <w:t xml:space="preserve">Aktivnost A700001 OSNOVNA AKTIVNOST OSNOVNOG ŠKOLSTVA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440.220,00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430.540,00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430.540,00</w:t>
            </w:r>
          </w:p>
        </w:tc>
      </w:tr>
      <w:tr>
        <w:trPr>
          <w:trHeight w:val="255"/>
          <w:jc w:val="right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Aktivnost A700002 OSNOVNA AKTIVNOST OSNOVNOG ŠKOLSTVA - MZOŠ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2.064.600,00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2.064.600,00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2.064.600,00</w:t>
            </w:r>
          </w:p>
        </w:tc>
      </w:tr>
      <w:tr>
        <w:trPr>
          <w:trHeight w:val="255"/>
          <w:jc w:val="right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Kapitalni projekt K700001 NABAVA OPREME U OSNOVNOM ŠKOLSTVU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>
        <w:trPr>
          <w:trHeight w:val="255"/>
          <w:jc w:val="right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Kapitalni projekt K700003 NABAVA KNJIGA U OSNOVNOM ŠKOLSTVU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30.000,00</w:t>
            </w:r>
          </w:p>
        </w:tc>
      </w:tr>
      <w:tr>
        <w:trPr>
          <w:trHeight w:val="255"/>
          <w:jc w:val="right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Tekući projekt T700001 PROJEKT „PETICA ZA DVOJE VIII. FAZA“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387.230,00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387.230,00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387.230,00</w:t>
            </w:r>
          </w:p>
        </w:tc>
      </w:tr>
      <w:tr>
        <w:trPr>
          <w:trHeight w:val="255"/>
          <w:jc w:val="right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2.922.050,00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2.912.370,00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2.912.370,00</w:t>
            </w: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zh-CN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Osnovna aktivnost osnovnog školstva – iznad zakonskog standarda</w:t>
      </w:r>
      <w:r>
        <w:rPr>
          <w:rFonts w:ascii="Times New Roman" w:eastAsia="Times New Roman" w:hAnsi="Times New Roman" w:cs="Times New Roman"/>
          <w:lang w:eastAsia="hr-HR"/>
        </w:rPr>
        <w:t xml:space="preserve"> -</w:t>
      </w:r>
      <w:r>
        <w:rPr>
          <w:rFonts w:ascii="Times New Roman" w:eastAsia="Arial Unicode MS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Decentralizirana sredstva odnose se na plaće zaposlenika u produženom boravku koje financira Grad Požega na temelju Odluke o provođenju produženog boravka u gradskim osnovnim školama (Službene novine Grada Požege, broj: 15/17., 15/18.,10/20., 11/22, 5/23.)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Vlastiti prihodi se odnose na prihode od najma dvorane, a koriste se za isplate nagrada mentorima i ostale troškove po potrebi.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Prihodi za posebne namjene su prihodi od uplata roditelja za produženi boravak, a koriste se za nabavu namirnica, materijala i plaće za zaposlene u produženom boravku.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Pomoći se odnose na prihode iz proračuna za nabavu materijala, prijevoz učenika iz posebnih odjela, besplatnu prehranu, sredstva za provođenje projekta Školska shema,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Erasmus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projekte te ostale prihode.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Donacije se odnose na donacije trgovačkih društava koje se koriste prema namjeni.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9"/>
        <w:gridCol w:w="1583"/>
        <w:gridCol w:w="992"/>
        <w:gridCol w:w="936"/>
        <w:gridCol w:w="1197"/>
        <w:gridCol w:w="1273"/>
        <w:gridCol w:w="1272"/>
      </w:tblGrid>
      <w:t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Pokazatelj uspješnosti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Definicija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Jedinica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Polazna vrijednost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PLAN </w:t>
            </w:r>
          </w:p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2025.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PROJEKCIJA</w:t>
            </w:r>
          </w:p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2026.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PROJEKCIJA</w:t>
            </w:r>
          </w:p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2027.</w:t>
            </w:r>
          </w:p>
        </w:tc>
      </w:tr>
      <w:t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54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Broj razrednih odjela produženog boravka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54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Zadržati broj razrednih odjela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54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Razredni odjel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Osnovna aktivnost osnovnog školstva – MZO</w:t>
      </w:r>
      <w:r>
        <w:rPr>
          <w:rFonts w:ascii="Times New Roman" w:eastAsia="Times New Roman" w:hAnsi="Times New Roman" w:cs="Times New Roman"/>
          <w:lang w:eastAsia="hr-HR"/>
        </w:rPr>
        <w:t xml:space="preserve"> - odnosi se na troškove plaće zaposlenika i ostale materijalne troškove koji su financirani iz državnog proračuna.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Nabava knjiga</w:t>
      </w:r>
      <w:r>
        <w:rPr>
          <w:rFonts w:ascii="Times New Roman" w:eastAsia="Times New Roman" w:hAnsi="Times New Roman" w:cs="Times New Roman"/>
          <w:lang w:eastAsia="hr-HR"/>
        </w:rPr>
        <w:t xml:space="preserve"> – odnosi se na troškove nabave udžbenika koji se financiraju iz pomoći te za nabavku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lektirnih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naslova.</w:t>
      </w:r>
    </w:p>
    <w:p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PROJEKT „PETICA ZA DVOJE VIII. FAZA“ – </w:t>
      </w:r>
      <w:r>
        <w:rPr>
          <w:rFonts w:ascii="Times New Roman" w:hAnsi="Times New Roman" w:cs="Times New Roman"/>
          <w:bCs/>
        </w:rPr>
        <w:t xml:space="preserve">Odnosi se ne plaće i materijalna prava za pomoćnike u nastavi za djecu s teškoćama. </w:t>
      </w:r>
      <w:r>
        <w:rPr>
          <w:rFonts w:ascii="Times New Roman" w:hAnsi="Times New Roman" w:cs="Times New Roman"/>
        </w:rPr>
        <w:t xml:space="preserve">Uvođenjem pomoćnika u nastavi cilj je olakšati integraciju učenika s posebnim potrebama ili teškoćama u razvoju. Ovim programom se postiže veća socijalna </w:t>
      </w:r>
      <w:proofErr w:type="spellStart"/>
      <w:r>
        <w:rPr>
          <w:rFonts w:ascii="Times New Roman" w:hAnsi="Times New Roman" w:cs="Times New Roman"/>
        </w:rPr>
        <w:lastRenderedPageBreak/>
        <w:t>inkluzija</w:t>
      </w:r>
      <w:proofErr w:type="spellEnd"/>
      <w:r>
        <w:rPr>
          <w:rFonts w:ascii="Times New Roman" w:hAnsi="Times New Roman" w:cs="Times New Roman"/>
        </w:rPr>
        <w:t xml:space="preserve"> učenika s teškoćama u razvoju, u smislu postizanja veće samostalnosti te poboljšanja u socijalnim interakcijama i vještinama. Poslovi pomoćnika u nastavi određeni su Zakonom o osobnoj asistenciji i Pravilnikom o pomoćnicima u nastavi i stručnim komunikacijskim posrednicima.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9"/>
        <w:gridCol w:w="1583"/>
        <w:gridCol w:w="992"/>
        <w:gridCol w:w="936"/>
        <w:gridCol w:w="1197"/>
        <w:gridCol w:w="1273"/>
        <w:gridCol w:w="1272"/>
      </w:tblGrid>
      <w:t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Pokazatelj uspješnosti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Definicija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Jedinica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Polazna vrijednost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PLAN </w:t>
            </w:r>
          </w:p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2025.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PROJEKCIJA</w:t>
            </w:r>
          </w:p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2026.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PROJEKCIJA</w:t>
            </w:r>
          </w:p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2027.</w:t>
            </w:r>
          </w:p>
        </w:tc>
      </w:tr>
      <w:t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54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Pomoćnici u nastavi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54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Zadržati broj pomoćnika u nastavi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54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Pomoćnik u nastavi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</w:t>
            </w:r>
          </w:p>
        </w:tc>
      </w:tr>
    </w:tbl>
    <w:p/>
    <w:p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Marija Turkalj Matijević" w:date="2024-11-05T09:40:00Z" w:initials="MTM">
    <w:p>
      <w:pPr>
        <w:pStyle w:val="Tekstkomentara"/>
      </w:pPr>
      <w:r>
        <w:rPr>
          <w:rStyle w:val="Referencakomentara"/>
        </w:rPr>
        <w:annotationRef/>
      </w:r>
      <w:r>
        <w:t>Polazna vrijednost u II. Rebalansu je ova</w:t>
      </w:r>
    </w:p>
  </w:comment>
  <w:comment w:id="2" w:author="Marija Turkalj Matijević" w:date="2024-11-05T09:38:00Z" w:initials="MTM">
    <w:p>
      <w:pPr>
        <w:pStyle w:val="Tekstkomentara"/>
      </w:pPr>
      <w:r>
        <w:rPr>
          <w:rStyle w:val="Referencakomentara"/>
        </w:rPr>
        <w:annotationRef/>
      </w:r>
      <w:r>
        <w:t>Polazna vrijednost u II. Rebalansu je ova..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F5C82"/>
    <w:multiLevelType w:val="multilevel"/>
    <w:tmpl w:val="721E6C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22C61B8"/>
    <w:multiLevelType w:val="multilevel"/>
    <w:tmpl w:val="13EC8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9C08F0"/>
    <w:multiLevelType w:val="multilevel"/>
    <w:tmpl w:val="15721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81E3AD5"/>
    <w:multiLevelType w:val="hybridMultilevel"/>
    <w:tmpl w:val="4B9615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D30C6"/>
    <w:multiLevelType w:val="hybridMultilevel"/>
    <w:tmpl w:val="BD34FE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ja Turkalj Matijević">
    <w15:presenceInfo w15:providerId="AD" w15:userId="S-1-5-21-2145080294-525006278-3590427802-21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D18AA-1F04-4EBD-9252-73DA61EB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pPr>
      <w:spacing w:after="0" w:line="240" w:lineRule="auto"/>
    </w:p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aChar">
    <w:name w:val="Tekst komentara Char"/>
    <w:basedOn w:val="Zadanifontodlomka"/>
    <w:link w:val="Tekstkomentara"/>
    <w:uiPriority w:val="99"/>
    <w:rPr>
      <w:kern w:val="2"/>
      <w:sz w:val="20"/>
      <w:szCs w:val="20"/>
      <w14:ligatures w14:val="standardContextual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2389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Kovačević</dc:creator>
  <cp:keywords/>
  <dc:description/>
  <cp:lastModifiedBy>Igor Kovačević</cp:lastModifiedBy>
  <cp:revision>2</cp:revision>
  <dcterms:created xsi:type="dcterms:W3CDTF">2025-05-29T10:31:00Z</dcterms:created>
  <dcterms:modified xsi:type="dcterms:W3CDTF">2025-05-29T10:31:00Z</dcterms:modified>
</cp:coreProperties>
</file>