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236166c77c44ee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9763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JULIJA KEMPFA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2.630.462,88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3.146.476,70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2.620.050,43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3.326.683,29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127,0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180.206,59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41.733,39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44.628,82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41.733,39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44.628,82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106,9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31.320,94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224.835,41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717,8</w:t>
            </w:r>
          </w:p>
        </w:tc>
      </w:tr>
    </w:tbl>
    <w:p>
      <w:pPr>
        <w:spacing w:before="0" w:after="0"/>
      </w:pPr>
    </w:p>
    <w:p>
      <w:r>
        <w:t xml:space="preserve">Program škole je osnovno obrazovanje učenika od 1. do 8. razreda te obrazovanje učenika s poteškoćama u razvoju raspoređenih u posebne odjele (1. do 8. razred) i odgojno – obrazovne skupine (od 7. do 21. godine života). </w:t>
      </w:r>
    </w:p>
    <w:p>
      <w:r>
        <w:t xml:space="preserve">Osnovna djelatnost škole je obrazovanje učenika kako bi usvojili potrebna znanja za daljnje školovanje, a za kvalitetno provođenje programa potrebno je redovito stručno usavršavanje nastavnika i ostalog osoblja kroz seminare i savjetovanja. Stručno usavršavanje učitelja organizirano je prema rasporedu stručnih skupova koje planira Agencija za odgoj i obrazovanje Republike Hrvatske, kao i Ministarstvo znanosti i obrazovanja.</w:t>
      </w:r>
    </w:p>
    <w:p>
      <w:r>
        <w:t xml:space="preserve">Sve aktivnosti provode se u skladu sa zakonskim aktima prema financijskom planu, godišnjem planu i programu škole i školskom kurikulumu. </w:t>
      </w:r>
    </w:p>
    <w:p>
      <w:r>
        <w:t xml:space="preserve">Financijska sredstva potrebna za rad osiguravaju se redovitim financiranjem predviđenim financijskim planom, a raspoređenim po pozicijama i kontima. Financijski plan sadrži izvore financiranja za materijalne rashode – Grad Požega – Zakonski standard, a za plaće 4 zaposlenice u produženom boravku – iznad zakonski standard te vlastiti prihodi i donacije. Plaća i ostala materijalna prava zaposlenih financiraju se iz Ministarstva znanosti, obrazovanja i sporta. Škola isplaćuje i plaće za pomoćnike u nastavi u sklopu projekta „Petica za dvoje“.</w:t>
      </w:r>
    </w:p>
    <w:p>
      <w:r>
        <w:t xml:space="preserve">U školi su organizirane četiri skupine produženog boravka za učenike razredne nastave, a u ovoj školskoj godini boravak pohađa 105 učenika. Troškove produženog boravka snose roditelji. </w:t>
      </w:r>
    </w:p>
    <w:p>
      <w:r>
        <w:t xml:space="preserve">Namirnice za pripremu obroka u školskoj kuhinji u potpunosti su financirane iz sredstava državnog proračuna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Tekući prijenosi između proračunskih korisnika istog proračuna temeljem prijenosa EU sredstava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96.970,90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356.298,97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367,4</w:t>
            </w:r>
          </w:p>
        </w:tc>
      </w:tr>
    </w:tbl>
    <w:p>
      <w:pPr>
        <w:spacing w:before="0" w:after="0"/>
      </w:pPr>
    </w:p>
    <w:p>
      <w:r>
        <w:t xml:space="preserve">Značajno povećanje jer škola isplaćuje plaće za pomoćnike u nastavi cijelu godinu, a u 2024. godini škola je počela isplaćivati plaće tek od početka nove školske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pruženih usluga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6615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1.439,26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63,9</w:t>
            </w:r>
          </w:p>
        </w:tc>
      </w:tr>
    </w:tbl>
    <w:p>
      <w:pPr>
        <w:spacing w:before="0" w:after="0"/>
      </w:pPr>
    </w:p>
    <w:p>
      <w:r>
        <w:t xml:space="preserve">Smanjenje jer škola ove godine ima manje najmoprimaca.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2.108.018,46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2.818.598,84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133,7</w:t>
            </w:r>
          </w:p>
        </w:tc>
      </w:tr>
    </w:tbl>
    <w:p>
      <w:pPr>
        <w:spacing w:before="0" w:after="0"/>
      </w:pPr>
    </w:p>
    <w:p>
      <w:r>
        <w:t xml:space="preserve">Povećani su rashodi za zaposlene jer je u ovaj izvještaj uključena i plaća za prosinac 2025. godine, tako da je ukupno 13 rashoda za plaće.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Naknade za prijevoz, za rad na terenu i odvojeni život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32.200,84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52.819,44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164,0</w:t>
            </w:r>
          </w:p>
        </w:tc>
      </w:tr>
    </w:tbl>
    <w:p>
      <w:pPr>
        <w:spacing w:before="0" w:after="0"/>
      </w:pPr>
    </w:p>
    <w:p>
      <w:r>
        <w:t xml:space="preserve">Povećanje zbog pomoćnika u nastavi, obračun plaće za cijelu godinu, u odnosu na prošlu kada je obračunavana samo od rujna.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1.895,00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3.111,50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164,2</w:t>
            </w:r>
          </w:p>
        </w:tc>
      </w:tr>
    </w:tbl>
    <w:p>
      <w:pPr>
        <w:spacing w:before="0" w:after="0"/>
      </w:pPr>
    </w:p>
    <w:p>
      <w:r>
        <w:t xml:space="preserve">Povećanje zbog povećanja cijena kotizacija kod gotovo svih stručnih usavršavanja.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3.976,00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7.340,92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184,6</w:t>
            </w:r>
          </w:p>
        </w:tc>
      </w:tr>
    </w:tbl>
    <w:p>
      <w:pPr>
        <w:spacing w:before="0" w:after="0"/>
      </w:pPr>
    </w:p>
    <w:p>
      <w:r>
        <w:t xml:space="preserve">Povećanje naknade zbog nezapošljavanja osoba s invaliditetom jer škola ima više zaposlenika zbog pomoćnika u nastavi, pa je i mjesečni iznos naknade veći.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10.623,69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191.008,50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1797,9</w:t>
            </w:r>
          </w:p>
        </w:tc>
      </w:tr>
    </w:tbl>
    <w:p>
      <w:pPr>
        <w:spacing w:before="0" w:after="0"/>
      </w:pPr>
    </w:p>
    <w:p>
      <w:r>
        <w:t xml:space="preserve">Značajna razlika u odnosu na prošlu godinu, prikazan je iznos koji se odnosi na plaću za 12. mjesec, a u prošlom izvještajnom razdoblju se nije iskazivala na ovaj način.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10.623,69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191.008,50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1797,9</w:t>
            </w:r>
          </w:p>
        </w:tc>
      </w:tr>
    </w:tbl>
    <w:p>
      <w:pPr>
        <w:spacing w:before="0" w:after="0"/>
      </w:pPr>
    </w:p>
    <w:p>
      <w:r>
        <w:t xml:space="preserve">Značajna razlika u odnosu na prošlu godinu, prikazan je iznos koji se odnosi na plaću za 12. mjesec, a u prošlom izvještajnom razdoblju se nije iskazivala na ovaj način.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tekuće obveze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14.252,47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371,08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2,6</w:t>
            </w:r>
          </w:p>
        </w:tc>
      </w:tr>
    </w:tbl>
    <w:p>
      <w:pPr>
        <w:spacing w:before="0" w:after="0"/>
      </w:pPr>
    </w:p>
    <w:p>
      <w:r>
        <w:t xml:space="preserve">Veliko smanjenje jer na ovom kontu više nisu obveze za bolovanje na teret HZZO-a.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Vlastiti izvori (šifre 91 + 922 - 93 + 96 + 97)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24.324,03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-20.459,48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-84,1</w:t>
            </w:r>
          </w:p>
        </w:tc>
      </w:tr>
    </w:tbl>
    <w:p>
      <w:pPr>
        <w:spacing w:before="0" w:after="0"/>
      </w:pPr>
    </w:p>
    <w:p>
      <w:r>
        <w:t xml:space="preserve">Ostvaren je značajan manjak u tekućoj godini zbog priznavanja rashoda za plaću za prosinac.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22.539,32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217.703,94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965,9</w:t>
            </w:r>
          </w:p>
        </w:tc>
      </w:tr>
    </w:tbl>
    <w:p>
      <w:pPr>
        <w:spacing w:before="0" w:after="0"/>
      </w:pPr>
    </w:p>
    <w:p>
      <w:r>
        <w:t xml:space="preserve">Ostvaren je značajan manjak u tekućoj godini zbog priznavanja rashoda za plaću za prosinac.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10.623,69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191.008,50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1797,9</w:t>
            </w:r>
          </w:p>
        </w:tc>
      </w:tr>
    </w:tbl>
    <w:p>
      <w:pPr>
        <w:spacing w:before="0" w:after="0"/>
      </w:pPr>
    </w:p>
    <w:p>
      <w:r>
        <w:t xml:space="preserve">Odnosi se na plaću za prosinac.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5.562,12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Odnosi se na račune za najam dvorane i za namirnice, zbog nedovoljnog stanja na računu, računi nisu podmireni do kraja godine, te račun za nabavu nefinancijske imovine.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rashode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253.745,56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Najveći dio ovih obveza odnosi se na plaće zaposlenika za prosinac, a ostatak na materijalne i financijske rashode 2024.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za predujmove, depozite, jamčevne pologe i tuđe prihode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ND27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Uplate jamčevina za proces javne nabave prijevoza učenika i nabavke radnih bilježnica.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Škola sudjeluje kao partner u Erasmus+ projektu naziva Home in Time and Traditions. Sredstva su primljena od partnerske škole iz Estonije. </w:t>
      </w:r>
    </w:p>
    <w:p>
      <w:r>
        <w:t xml:space="preserve">Odradili smo jednu mobilnost, u Portugal i sva sredstva koja su potrošena odnose se na tu mobilnost, dio za troškove službenog putovanja, a dio za usluge prijevoza.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400755b1d234314" /></Relationships>
</file>